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B5" w:rsidRDefault="00DC7A2C" w:rsidP="009A628B">
      <w:pPr>
        <w:shd w:val="clear" w:color="auto" w:fill="FFFFFF"/>
        <w:spacing w:after="0" w:line="240" w:lineRule="auto"/>
        <w:ind w:left="1062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</w:t>
      </w:r>
      <w:r w:rsidR="00B942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712B5" w:rsidRPr="00EF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4209" w:rsidRDefault="00B94209" w:rsidP="009A628B">
      <w:pPr>
        <w:shd w:val="clear" w:color="auto" w:fill="FFFFFF"/>
        <w:spacing w:after="0" w:line="240" w:lineRule="auto"/>
        <w:ind w:left="1062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Астана қаласы әкімдігінің</w:t>
      </w:r>
    </w:p>
    <w:p w:rsidR="009712B5" w:rsidRDefault="00B94209" w:rsidP="009A628B">
      <w:pPr>
        <w:shd w:val="clear" w:color="auto" w:fill="FFFFFF"/>
        <w:spacing w:after="0" w:line="240" w:lineRule="auto"/>
        <w:ind w:left="1062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қалалық емхана» ШЖҚ МКК</w:t>
      </w:r>
      <w:r w:rsidR="0097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</w:p>
    <w:p w:rsidR="00DC7A2C" w:rsidRDefault="00DC7A2C" w:rsidP="009A628B">
      <w:pPr>
        <w:shd w:val="clear" w:color="auto" w:fill="FFFFFF"/>
        <w:spacing w:after="0" w:line="240" w:lineRule="auto"/>
        <w:ind w:left="1062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="00B94209" w:rsidRPr="00B94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Л.Л.</w:t>
      </w:r>
      <w:r w:rsidR="00B942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Закарьянова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7BD7" w:rsidRPr="00B94209" w:rsidRDefault="00EF7BD7" w:rsidP="009A628B">
      <w:pPr>
        <w:shd w:val="clear" w:color="auto" w:fill="FFFFFF"/>
        <w:spacing w:after="0" w:line="240" w:lineRule="auto"/>
        <w:ind w:left="1062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F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07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EF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76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="0097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EF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2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</w:t>
      </w:r>
    </w:p>
    <w:p w:rsidR="009A628B" w:rsidRDefault="009A628B" w:rsidP="006853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209" w:rsidRDefault="00B94209" w:rsidP="006853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ЖЫЛҒА АРНАЛҒАН АСТАНА ҚАЛАСЫ ӘКІМДІГІНІҢ «</w:t>
      </w:r>
      <w:r w:rsidRPr="00B94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№13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ҚАЛАЛЫҚ ЕМХАНА»</w:t>
      </w:r>
      <w:r w:rsidRPr="00B94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ШЖҚ МКК </w:t>
      </w:r>
    </w:p>
    <w:p w:rsidR="00685315" w:rsidRPr="00DC7A2C" w:rsidRDefault="00B94209" w:rsidP="006853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СЫБАЙЛАС ЖЕМҚОРЛЫҚ ТӘУЕКЕЛДЕРІНЕ ІШКІ ТАЛДАУ НӘТИЖЕЛЕРІ БОЙЫНША АНЫҚТАЛҒАН СЫБАЙЛАС ЖЕМҚОРЛЫҚ ҚҰҚЫҚ БҰЗУШЫЛЫҚТАР ЖАСАУҒА ЫҚАПЛ ЕТЕТІН СЕБЕПТЕР МЕН ЖАҒДАЙЛАРДЫ ЖОЮ ЖӨНІНДЕГІ ІС-ШАРАЛАР ЖОСПАРЫ</w:t>
      </w:r>
    </w:p>
    <w:p w:rsidR="00685315" w:rsidRPr="0008697F" w:rsidRDefault="00685315" w:rsidP="006853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7484"/>
        <w:gridCol w:w="1701"/>
        <w:gridCol w:w="2297"/>
        <w:gridCol w:w="2664"/>
      </w:tblGrid>
      <w:tr w:rsidR="00685315" w:rsidRPr="0008697F" w:rsidTr="00DF05BF">
        <w:trPr>
          <w:trHeight w:val="139"/>
        </w:trPr>
        <w:tc>
          <w:tcPr>
            <w:tcW w:w="704" w:type="dxa"/>
          </w:tcPr>
          <w:p w:rsidR="00685315" w:rsidRDefault="0068531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19F" w:rsidRPr="0008697F" w:rsidRDefault="0094219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</w:tcPr>
          <w:p w:rsidR="00685315" w:rsidRPr="0008697F" w:rsidRDefault="00B9420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01" w:type="dxa"/>
          </w:tcPr>
          <w:p w:rsidR="00685315" w:rsidRPr="0008697F" w:rsidRDefault="00B9420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297" w:type="dxa"/>
          </w:tcPr>
          <w:p w:rsidR="00685315" w:rsidRPr="0008697F" w:rsidRDefault="00B9420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Аяқтау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664" w:type="dxa"/>
          </w:tcPr>
          <w:p w:rsidR="00685315" w:rsidRPr="0008697F" w:rsidRDefault="00B9420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құрылымдық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бөлімше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лауазымды</w:t>
            </w:r>
            <w:proofErr w:type="spellEnd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b/>
                <w:sz w:val="24"/>
                <w:szCs w:val="24"/>
              </w:rPr>
              <w:t>тұлға</w:t>
            </w:r>
            <w:proofErr w:type="spellEnd"/>
          </w:p>
        </w:tc>
      </w:tr>
      <w:tr w:rsidR="00DA678B" w:rsidRPr="0008697F" w:rsidTr="00DF05BF">
        <w:trPr>
          <w:trHeight w:val="139"/>
        </w:trPr>
        <w:tc>
          <w:tcPr>
            <w:tcW w:w="704" w:type="dxa"/>
          </w:tcPr>
          <w:p w:rsidR="00DA678B" w:rsidRPr="00DA678B" w:rsidRDefault="00DA678B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:rsidR="00DA678B" w:rsidRPr="0094219F" w:rsidRDefault="00B94209" w:rsidP="00DF05BF">
            <w:pPr>
              <w:pStyle w:val="a6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Кәсіпорын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қызметкерлерін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іскерлік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әдеп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мінез-құлық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Кодексімен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саясатымен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стандартымен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Кәсіпорын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коммерциялық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пара беру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нұсқаулықпен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Кәсіпорын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жауапкершілігін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мінез-құлық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жағдайларын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күдік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Ережемен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A678B" w:rsidRPr="0094219F" w:rsidRDefault="007A044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</w:p>
        </w:tc>
        <w:tc>
          <w:tcPr>
            <w:tcW w:w="2297" w:type="dxa"/>
          </w:tcPr>
          <w:p w:rsidR="00DA678B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DA678B" w:rsidRPr="0008697F" w:rsidRDefault="00DA678B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-офицер</w:t>
            </w:r>
          </w:p>
        </w:tc>
      </w:tr>
      <w:tr w:rsidR="000F41A5" w:rsidRPr="0008697F" w:rsidTr="00DF05BF">
        <w:trPr>
          <w:trHeight w:val="139"/>
        </w:trPr>
        <w:tc>
          <w:tcPr>
            <w:tcW w:w="704" w:type="dxa"/>
          </w:tcPr>
          <w:p w:rsidR="000F41A5" w:rsidRPr="0008697F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:rsidR="000F41A5" w:rsidRPr="001B1733" w:rsidRDefault="000F41A5" w:rsidP="000F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Квазимемлекеттік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сектор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субъектілерінде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комплаенс-қызметтердің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актілерге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өзектендіру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F41A5" w:rsidRPr="007A0442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97" w:type="dxa"/>
          </w:tcPr>
          <w:p w:rsidR="000F41A5" w:rsidRPr="0008697F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Өзектендірілген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нормативтік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құжаттама</w:t>
            </w:r>
            <w:proofErr w:type="spellEnd"/>
          </w:p>
        </w:tc>
        <w:tc>
          <w:tcPr>
            <w:tcW w:w="2664" w:type="dxa"/>
          </w:tcPr>
          <w:p w:rsidR="000F41A5" w:rsidRPr="0008697F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-офицер </w:t>
            </w:r>
          </w:p>
        </w:tc>
      </w:tr>
      <w:tr w:rsidR="00685315" w:rsidRPr="0008697F" w:rsidTr="00DF05BF">
        <w:trPr>
          <w:trHeight w:val="139"/>
        </w:trPr>
        <w:tc>
          <w:tcPr>
            <w:tcW w:w="704" w:type="dxa"/>
          </w:tcPr>
          <w:p w:rsidR="00685315" w:rsidRPr="0008697F" w:rsidRDefault="00DA678B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685315" w:rsidRPr="001B1733" w:rsidRDefault="00B94209" w:rsidP="00B9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заңнамасының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әкімдігінің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емхана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ШЖҚ МКК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іс-шараларын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1701" w:type="dxa"/>
          </w:tcPr>
          <w:p w:rsidR="00685315" w:rsidRPr="0008697F" w:rsidRDefault="007A044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297" w:type="dxa"/>
          </w:tcPr>
          <w:p w:rsidR="00DA678B" w:rsidRPr="0008697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хаттамасы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желілерде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жариялауға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(бар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685315" w:rsidRPr="0008697F" w:rsidRDefault="0068531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-офицер</w:t>
            </w:r>
            <w:r w:rsidR="00076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85315" w:rsidRPr="0008697F" w:rsidRDefault="0068531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15" w:rsidRPr="0008697F" w:rsidTr="00DF05BF">
        <w:trPr>
          <w:trHeight w:val="139"/>
        </w:trPr>
        <w:tc>
          <w:tcPr>
            <w:tcW w:w="704" w:type="dxa"/>
          </w:tcPr>
          <w:p w:rsidR="00685315" w:rsidRPr="0008697F" w:rsidRDefault="00DA678B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:rsidR="00685315" w:rsidRPr="001B1733" w:rsidRDefault="00B94209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функцияларды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уәкілеттік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адамдарға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теңестірілген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шектеулерді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қабылдауын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Кәсіпорын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директорының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ісінде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шектеулерді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жойылды</w:t>
            </w:r>
            <w:proofErr w:type="spellEnd"/>
            <w:r w:rsidRPr="00B94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5315" w:rsidRPr="007A0442" w:rsidRDefault="007A0442" w:rsidP="007A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97" w:type="dxa"/>
          </w:tcPr>
          <w:p w:rsidR="00685315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Растайтын құжаттарды қоса бере отырып, сыбайлас жемқорлыққа қарсы шектеулерді қабылдаған қызметкерлердің тізімі</w:t>
            </w:r>
          </w:p>
        </w:tc>
        <w:tc>
          <w:tcPr>
            <w:tcW w:w="2664" w:type="dxa"/>
          </w:tcPr>
          <w:p w:rsidR="00685315" w:rsidRPr="0008697F" w:rsidRDefault="0068531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-офицер</w:t>
            </w:r>
            <w:r w:rsidR="00076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1156B" w:rsidRPr="0008697F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</w:p>
        </w:tc>
      </w:tr>
      <w:tr w:rsidR="00685315" w:rsidRPr="0008697F" w:rsidTr="00DF05BF">
        <w:trPr>
          <w:trHeight w:val="139"/>
        </w:trPr>
        <w:tc>
          <w:tcPr>
            <w:tcW w:w="704" w:type="dxa"/>
          </w:tcPr>
          <w:p w:rsidR="00685315" w:rsidRPr="0008697F" w:rsidRDefault="00DA678B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</w:tcPr>
          <w:p w:rsidR="00685315" w:rsidRPr="0008697F" w:rsidRDefault="00B8413D" w:rsidP="00B84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Астана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әкімдігінің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ШЖҚ МКК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бөлімшелерін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қамти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тәуекелдеріне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701" w:type="dxa"/>
          </w:tcPr>
          <w:p w:rsidR="00685315" w:rsidRPr="0008697F" w:rsidRDefault="007A044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тоқсанынан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  <w:tc>
          <w:tcPr>
            <w:tcW w:w="2297" w:type="dxa"/>
          </w:tcPr>
          <w:p w:rsidR="00685315" w:rsidRPr="0008697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Талдамалық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2664" w:type="dxa"/>
          </w:tcPr>
          <w:p w:rsidR="00685315" w:rsidRPr="0008697F" w:rsidRDefault="0068531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-офицер</w:t>
            </w:r>
            <w:r w:rsidR="00076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685315" w:rsidRPr="0008697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</w:tc>
      </w:tr>
      <w:tr w:rsidR="00333188" w:rsidRPr="0008697F" w:rsidTr="00DF05BF">
        <w:trPr>
          <w:trHeight w:val="139"/>
        </w:trPr>
        <w:tc>
          <w:tcPr>
            <w:tcW w:w="704" w:type="dxa"/>
          </w:tcPr>
          <w:p w:rsidR="00333188" w:rsidRPr="0008697F" w:rsidRDefault="00DA678B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4" w:type="dxa"/>
          </w:tcPr>
          <w:p w:rsidR="00333188" w:rsidRPr="0008697F" w:rsidRDefault="00B8413D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Ұйымдағы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бұзушылықтар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хабарлау</w:t>
            </w:r>
            <w:proofErr w:type="spellEnd"/>
          </w:p>
        </w:tc>
        <w:tc>
          <w:tcPr>
            <w:tcW w:w="1701" w:type="dxa"/>
          </w:tcPr>
          <w:p w:rsidR="00333188" w:rsidRPr="0008697F" w:rsidRDefault="007A044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Анықталуына</w:t>
            </w:r>
            <w:proofErr w:type="spellEnd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42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</w:p>
        </w:tc>
        <w:tc>
          <w:tcPr>
            <w:tcW w:w="2297" w:type="dxa"/>
          </w:tcPr>
          <w:p w:rsidR="00333188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64" w:type="dxa"/>
          </w:tcPr>
          <w:p w:rsidR="00333188" w:rsidRPr="0008697F" w:rsidRDefault="00333188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-офицер </w:t>
            </w:r>
          </w:p>
        </w:tc>
      </w:tr>
      <w:tr w:rsidR="000F41A5" w:rsidRPr="0008697F" w:rsidTr="00DF05BF">
        <w:trPr>
          <w:trHeight w:val="1164"/>
        </w:trPr>
        <w:tc>
          <w:tcPr>
            <w:tcW w:w="704" w:type="dxa"/>
            <w:tcBorders>
              <w:bottom w:val="single" w:sz="4" w:space="0" w:color="000000" w:themeColor="text1"/>
            </w:tcBorders>
          </w:tcPr>
          <w:p w:rsid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tcBorders>
              <w:bottom w:val="single" w:sz="4" w:space="0" w:color="000000" w:themeColor="text1"/>
            </w:tcBorders>
          </w:tcPr>
          <w:p w:rsidR="000F41A5" w:rsidRPr="009A628B" w:rsidRDefault="000F41A5" w:rsidP="000F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орналастыруды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бағыттағы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айдарларды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F41A5" w:rsidRDefault="000F41A5" w:rsidP="000F41A5">
            <w:pPr>
              <w:jc w:val="center"/>
            </w:pPr>
            <w:r w:rsidRPr="007C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664" w:type="dxa"/>
            <w:tcBorders>
              <w:bottom w:val="single" w:sz="4" w:space="0" w:color="000000" w:themeColor="text1"/>
            </w:tcBorders>
          </w:tcPr>
          <w:p w:rsidR="007200E9" w:rsidRPr="007200E9" w:rsidRDefault="000F41A5" w:rsidP="0072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200E9">
              <w:t xml:space="preserve"> </w:t>
            </w:r>
            <w:proofErr w:type="spellStart"/>
            <w:r w:rsidR="007200E9"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баспасөз</w:t>
            </w:r>
            <w:proofErr w:type="spellEnd"/>
            <w:proofErr w:type="gramEnd"/>
          </w:p>
          <w:p w:rsidR="000F41A5" w:rsidRPr="0008697F" w:rsidRDefault="007200E9" w:rsidP="0072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хатшы</w:t>
            </w:r>
            <w:proofErr w:type="spellEnd"/>
          </w:p>
        </w:tc>
      </w:tr>
      <w:tr w:rsidR="000F41A5" w:rsidRPr="0008697F" w:rsidTr="00DF05BF">
        <w:trPr>
          <w:trHeight w:val="396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Pr="00DC7A2C" w:rsidRDefault="000F41A5" w:rsidP="00D22EA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Кәсіпорынға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бұзушылық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қылмыс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жасағаны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мәліметтердің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соттылығының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анықтаманы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Р. У.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Такееваның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ісінде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қылмысының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соттылығының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 Ш.К.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Абдиковада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жойылған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қылмысының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1A5" w:rsidRPr="009A628B" w:rsidRDefault="000F41A5" w:rsidP="000F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Default="000F41A5" w:rsidP="000F41A5">
            <w:pPr>
              <w:jc w:val="center"/>
            </w:pPr>
            <w:r w:rsidRPr="007C0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P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Pr="0008697F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-офицер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1A5" w:rsidRPr="0008697F" w:rsidRDefault="007200E9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219F" w:rsidRPr="0008697F" w:rsidTr="00DF05BF">
        <w:trPr>
          <w:trHeight w:val="1125"/>
        </w:trPr>
        <w:tc>
          <w:tcPr>
            <w:tcW w:w="704" w:type="dxa"/>
            <w:tcBorders>
              <w:top w:val="single" w:sz="4" w:space="0" w:color="000000" w:themeColor="text1"/>
            </w:tcBorders>
          </w:tcPr>
          <w:p w:rsidR="0094219F" w:rsidRDefault="000F0C33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84" w:type="dxa"/>
            <w:tcBorders>
              <w:top w:val="single" w:sz="4" w:space="0" w:color="000000" w:themeColor="text1"/>
            </w:tcBorders>
          </w:tcPr>
          <w:p w:rsidR="0094219F" w:rsidRPr="009A628B" w:rsidRDefault="00B8413D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Кәсіпорынға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орындарында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оқуды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жүргізілсін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94219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97" w:type="dxa"/>
            <w:tcBorders>
              <w:top w:val="single" w:sz="4" w:space="0" w:color="000000" w:themeColor="text1"/>
            </w:tcBorders>
          </w:tcPr>
          <w:p w:rsidR="0094219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 w:themeColor="text1"/>
            </w:tcBorders>
          </w:tcPr>
          <w:p w:rsidR="0094219F" w:rsidRPr="0008697F" w:rsidRDefault="007200E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 w:rsidRPr="0008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219F" w:rsidRPr="0008697F" w:rsidTr="00DF05BF">
        <w:trPr>
          <w:trHeight w:val="2052"/>
        </w:trPr>
        <w:tc>
          <w:tcPr>
            <w:tcW w:w="704" w:type="dxa"/>
            <w:tcBorders>
              <w:bottom w:val="single" w:sz="4" w:space="0" w:color="000000" w:themeColor="text1"/>
            </w:tcBorders>
          </w:tcPr>
          <w:p w:rsidR="0094219F" w:rsidRDefault="000F0C33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  <w:tcBorders>
              <w:bottom w:val="single" w:sz="4" w:space="0" w:color="000000" w:themeColor="text1"/>
            </w:tcBorders>
          </w:tcPr>
          <w:p w:rsidR="0094219F" w:rsidRPr="009A628B" w:rsidRDefault="00B8413D" w:rsidP="00B84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құрылымдық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бөлімшелері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ережелер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нұсқаулықтары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орындал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болған</w:t>
            </w: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F41A5" w:rsidRP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тамызына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19F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</w:p>
        </w:tc>
        <w:tc>
          <w:tcPr>
            <w:tcW w:w="2297" w:type="dxa"/>
            <w:tcBorders>
              <w:bottom w:val="single" w:sz="4" w:space="0" w:color="000000" w:themeColor="text1"/>
            </w:tcBorders>
          </w:tcPr>
          <w:p w:rsidR="0094219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Жаңадан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әзірленген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ережелер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нұсқаулықтар</w:t>
            </w:r>
            <w:proofErr w:type="spellEnd"/>
          </w:p>
        </w:tc>
        <w:tc>
          <w:tcPr>
            <w:tcW w:w="2664" w:type="dxa"/>
            <w:tcBorders>
              <w:bottom w:val="single" w:sz="4" w:space="0" w:color="000000" w:themeColor="text1"/>
            </w:tcBorders>
          </w:tcPr>
          <w:p w:rsidR="0094219F" w:rsidRPr="0008697F" w:rsidRDefault="007200E9" w:rsidP="00395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 w:rsidR="000F0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әсіпорынның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тиісті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бөлімшелерінің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басшысына</w:t>
            </w:r>
            <w:proofErr w:type="spellEnd"/>
          </w:p>
        </w:tc>
      </w:tr>
      <w:tr w:rsidR="006B01A4" w:rsidRPr="0008697F" w:rsidTr="00DF05BF">
        <w:trPr>
          <w:trHeight w:val="30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6B01A4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B8413D" w:rsidP="00B84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шарттарда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жалақының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сомасы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көрсетілмеген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тарифке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транскрипцияланбайды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P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тамызына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1A4" w:rsidRDefault="006B01A4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P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шарттарды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сәйкестендір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Pr="0008697F" w:rsidRDefault="007200E9" w:rsidP="00395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 w:rsidR="006B0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қаржы-экономикалық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</w:p>
        </w:tc>
      </w:tr>
      <w:tr w:rsidR="006B01A4" w:rsidRPr="0008697F" w:rsidTr="00DF05BF">
        <w:trPr>
          <w:trHeight w:val="405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6B01A4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80FF7" w:rsidRDefault="00B8413D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АРББ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құрамына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заңгері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кіреді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алайда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АРББ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заңгерлік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АРББ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нұсқаулығында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лауазымдардың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анықтамалығына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халықты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30.12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бұйрығына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болғанымен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жеткілікті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кадр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қызметінде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басшылық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екендігі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. 2020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№553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даярлаудың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бағыты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басқаруды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етіледі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41A5" w:rsidRPr="000F41A5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тамызына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1A4" w:rsidRDefault="006B01A4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0F41A5" w:rsidP="000F4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Құрылымды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сәйкестендір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өзгерт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заңгерге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бағыну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Pr="007200E9" w:rsidRDefault="007200E9" w:rsidP="00395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 w:rsidR="00B80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бақылау кеңесі</w:t>
            </w:r>
          </w:p>
        </w:tc>
      </w:tr>
      <w:tr w:rsidR="006B01A4" w:rsidRPr="0008697F" w:rsidTr="00DF05BF">
        <w:trPr>
          <w:trHeight w:val="150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B80FF7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B8413D" w:rsidP="00B84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тауарларды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ізушілермен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шарттарға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енгізілсін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тармақ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жеткізушілердің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Кәсіпорындағы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әдепке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бейілділігін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берушілермен шартты сәйкестікке келтіру</w:t>
            </w: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B01A4" w:rsidRDefault="007200E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емлекеттік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енеджер</w:t>
            </w:r>
            <w:r w:rsidR="0051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1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="00512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-офицер.</w:t>
            </w:r>
          </w:p>
          <w:p w:rsidR="00512AAF" w:rsidRDefault="00512AA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AAF" w:rsidRDefault="00512AA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AAF" w:rsidRPr="0008697F" w:rsidRDefault="00512AA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AAF" w:rsidRPr="0008697F" w:rsidTr="00DF05BF">
        <w:trPr>
          <w:trHeight w:val="417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AAF" w:rsidRDefault="00512AA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AAF" w:rsidRDefault="00B8413D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1,71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мөлшерінде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жалақыны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ұлғайту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ФОМС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қаржыландырудың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болмауына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3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AAF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 соңына дейін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AAF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Төлемдер</w:t>
            </w:r>
            <w:proofErr w:type="spellEnd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12AAF" w:rsidRDefault="007200E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қаржы-экономикалық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6CA2" w:rsidRPr="0008697F" w:rsidTr="00DF05BF">
        <w:trPr>
          <w:trHeight w:val="298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Default="00B96CA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Default="00B8413D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Уақытша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қызметкердің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лауазымдарын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атқару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қызметкерлерге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еңбекақы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төлеу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фактісі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бар, ал ҚР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кодексінің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111-бабының 3-тармақшасының 2-тармақшасына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уақытша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қызметкердің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алмастыру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уақытша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қызметкерді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алмастыру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алмастырушы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қызметкердің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лауазымдық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міндеттеріне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кіретін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ақы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төленбейді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ОЧР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бастығы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Сәдуақасова.А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кезекті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демалысында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оучр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менеджері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ақы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алды</w:t>
            </w:r>
            <w:proofErr w:type="spellEnd"/>
            <w:r w:rsidRPr="00B841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 соңына дейін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келу және тиісті есептеулер жүргізу</w:t>
            </w: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Default="007200E9" w:rsidP="00395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бөлімі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қаржы-экономикалық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6CA2" w:rsidRPr="0008697F" w:rsidTr="00DF05BF">
        <w:trPr>
          <w:trHeight w:val="4764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Default="00B96CA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Pr="00CF0AC7" w:rsidRDefault="00510FE4" w:rsidP="00D22EA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Кәсіпорында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бар 14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автокөліктің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4-і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есептен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шығаруға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жатады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өйткені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олар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пайдалануға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жарамсыздығына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байланысты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пайдаланылмайды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Сонымен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қатар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HyundaiH-1 KZ 704 AS 01,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«Ж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едел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медициналық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көмек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автокөлігінде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алдыңғы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әйнектің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бәрі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жарылған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екі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доңғалақта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доңғалақтарды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бекітуге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арналған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бір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болт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жоқ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осыған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байланысты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бұл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көлікті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пайдалану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бар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кемшіліктер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жойылғанға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дейін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тоқтатылды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Бұл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ӘШҚ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басшысына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қысқа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мерзімде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кемшіліктерді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жою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туралы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нұсқау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берілді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үшін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Бунвидавичус"ЖК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-мен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автокөлік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құралдарына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техникалық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қызмет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көрсету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ағымдағы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жөндеу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шарт</w:t>
            </w:r>
            <w:proofErr w:type="spellEnd"/>
            <w:r w:rsidRPr="00510F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бар.</w:t>
            </w:r>
          </w:p>
          <w:p w:rsidR="00B96CA2" w:rsidRDefault="00B96CA2" w:rsidP="00DF05BF">
            <w:pPr>
              <w:pStyle w:val="a6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A2" w:rsidRDefault="00B96CA2" w:rsidP="00DF05BF">
            <w:pPr>
              <w:pStyle w:val="a6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A2" w:rsidRPr="005161AB" w:rsidRDefault="00B96CA2" w:rsidP="00DF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96CA2" w:rsidRDefault="000F41A5" w:rsidP="000F41A5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Бұл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ӘШҚ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басшысына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апта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қысқа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мерзімде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кемшіліктерді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жою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нұсқау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берілді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соңына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автомашиналарды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0AC7" w:rsidRPr="00CF0AC7" w:rsidRDefault="000F41A5" w:rsidP="000F41A5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соңына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автомашиналарды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</w:p>
          <w:p w:rsidR="00B96CA2" w:rsidRDefault="00B96CA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0AC7" w:rsidRDefault="007200E9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ӘШҚ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қаржы-экономикалық</w:t>
            </w:r>
            <w:proofErr w:type="spellEnd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6CA2" w:rsidRPr="0008697F" w:rsidRDefault="00B96CA2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5BF" w:rsidRPr="007200E9" w:rsidTr="00DF05BF">
        <w:trPr>
          <w:trHeight w:val="30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Default="00DF05B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9B0D26" w:rsidRDefault="00510FE4" w:rsidP="00D22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E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28.02.2024 </w:t>
            </w:r>
            <w:proofErr w:type="spellStart"/>
            <w:r w:rsidRPr="00510FE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510FE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банкінен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БЖЗҚ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қаражатынан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томатологиялық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қызметтер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ақшаны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Банкіне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Тулеу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Нұрлыбек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жүгінгені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хат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келіп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түсті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№13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қалалық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емхананың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дәрігерлік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комиссиясы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ақпандағы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№44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анықтаманы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қоса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берді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жалған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шықты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№13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емханаға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тіркелмеген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Төлеуов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мырзаға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ресми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берілмеді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Сондықтан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қызметтік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тергеу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жүргізіліп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тергеу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ІІД-не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жіберу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жауапкершілікке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тарту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шешімін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қабылдай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кінәлі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адамды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қабылданды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факті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Алматы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ауданының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полиция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14.03.2024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№247111031000901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қозғады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уақытта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қылмыстық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құқық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жасаған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адамды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анықтамағаны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ҚР ҚІЖК 1-тармағының 7-бөлігінің 45</w:t>
            </w:r>
            <w:r w:rsidR="00A1017D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  <w:t>-бабы</w:t>
            </w:r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тоқтатылды</w:t>
            </w:r>
            <w:proofErr w:type="spellEnd"/>
            <w:r w:rsidRPr="00510FE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CF0AC7" w:rsidRDefault="000F41A5" w:rsidP="000F41A5">
            <w:pPr>
              <w:ind w:left="38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Бұдан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бермеу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алгоритмін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7200E9" w:rsidRDefault="007200E9" w:rsidP="009B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орынбасары, МҚСББ, бөлімше меңгерушілері</w:t>
            </w:r>
          </w:p>
        </w:tc>
      </w:tr>
      <w:tr w:rsidR="00DF05BF" w:rsidRPr="007200E9" w:rsidTr="00DF05BF">
        <w:trPr>
          <w:trHeight w:val="156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Default="00DF05BF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A1017D" w:rsidRDefault="00A1017D" w:rsidP="00D22EA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1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03.05.2024 </w:t>
            </w:r>
            <w:proofErr w:type="spellStart"/>
            <w:r w:rsidRPr="00A101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A101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Нұралинадан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тіс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дәрігері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Мұхтархановқа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баласының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тістерін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емдеуге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препаратты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сатқаны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шағым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2015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Каспий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Банкі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шотына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3000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теңге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сомасында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ақша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аударуды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өтінді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Осы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факті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қызметтік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тергеу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тәртіптік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отырысы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өткізілді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нәтижелері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Д.Мұхтарханов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кінәсін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мойындап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берушіге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ақшаны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қайтарып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берді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директордың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№90-Ө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қатаң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сөгіс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жарияланды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Содан, </w:t>
            </w:r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5.05. 2024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Мұхтарханов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әсіпорыннан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кетті</w:t>
            </w:r>
            <w:proofErr w:type="spellEnd"/>
            <w:r w:rsidRPr="00A101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F05BF" w:rsidRPr="009B0D26" w:rsidRDefault="00DF05BF" w:rsidP="00D22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CF0AC7" w:rsidRDefault="000F41A5" w:rsidP="009B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Мұндай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фактілерді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болдырмау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дәрі-дәрмектерді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емдеу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алгоритмін</w:t>
            </w:r>
            <w:proofErr w:type="spellEnd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0F41A5" w:rsidRDefault="000F41A5" w:rsidP="00DF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05BF" w:rsidRPr="007200E9" w:rsidRDefault="007200E9" w:rsidP="009B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0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 орынбасары, МҚСББ, бөлімше меңгерушілері</w:t>
            </w:r>
          </w:p>
        </w:tc>
      </w:tr>
    </w:tbl>
    <w:p w:rsidR="00FA2FBF" w:rsidRPr="007200E9" w:rsidRDefault="00DC7A2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0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</w:p>
    <w:p w:rsidR="00B1603C" w:rsidRPr="00DC7A2C" w:rsidRDefault="00FA2FBF">
      <w:pPr>
        <w:rPr>
          <w:rFonts w:ascii="Times New Roman" w:hAnsi="Times New Roman" w:cs="Times New Roman"/>
          <w:b/>
          <w:sz w:val="28"/>
          <w:szCs w:val="28"/>
        </w:rPr>
      </w:pPr>
      <w:r w:rsidRPr="00720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DC7A2C" w:rsidRPr="00720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proofErr w:type="spellStart"/>
      <w:r w:rsidR="00DC7A2C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DC7A2C" w:rsidRPr="00DC7A2C">
        <w:rPr>
          <w:rFonts w:ascii="Times New Roman" w:hAnsi="Times New Roman" w:cs="Times New Roman"/>
          <w:b/>
          <w:sz w:val="28"/>
          <w:szCs w:val="28"/>
        </w:rPr>
        <w:t xml:space="preserve">-офицер                                                    О.И. </w:t>
      </w:r>
      <w:proofErr w:type="spellStart"/>
      <w:r w:rsidR="00DC7A2C" w:rsidRPr="00DC7A2C">
        <w:rPr>
          <w:rFonts w:ascii="Times New Roman" w:hAnsi="Times New Roman" w:cs="Times New Roman"/>
          <w:b/>
          <w:sz w:val="28"/>
          <w:szCs w:val="28"/>
        </w:rPr>
        <w:t>Жиенбаев</w:t>
      </w:r>
      <w:proofErr w:type="spellEnd"/>
    </w:p>
    <w:p w:rsidR="00815DAE" w:rsidRPr="00B1603C" w:rsidRDefault="00B1603C" w:rsidP="00B1603C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</w:p>
    <w:sectPr w:rsidR="00815DAE" w:rsidRPr="00B1603C" w:rsidSect="009A628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C7"/>
    <w:rsid w:val="0007602D"/>
    <w:rsid w:val="000E118A"/>
    <w:rsid w:val="000F0C33"/>
    <w:rsid w:val="000F41A5"/>
    <w:rsid w:val="00111F05"/>
    <w:rsid w:val="001B1733"/>
    <w:rsid w:val="00333188"/>
    <w:rsid w:val="00395A5F"/>
    <w:rsid w:val="00491581"/>
    <w:rsid w:val="00510FE4"/>
    <w:rsid w:val="00512AAF"/>
    <w:rsid w:val="005161AB"/>
    <w:rsid w:val="00536C61"/>
    <w:rsid w:val="005502DF"/>
    <w:rsid w:val="00685315"/>
    <w:rsid w:val="006B01A4"/>
    <w:rsid w:val="007200E9"/>
    <w:rsid w:val="007A0442"/>
    <w:rsid w:val="00815DAE"/>
    <w:rsid w:val="0088007B"/>
    <w:rsid w:val="0091156B"/>
    <w:rsid w:val="0094219F"/>
    <w:rsid w:val="00962FAF"/>
    <w:rsid w:val="009712B5"/>
    <w:rsid w:val="009852C7"/>
    <w:rsid w:val="009A628B"/>
    <w:rsid w:val="009B0D26"/>
    <w:rsid w:val="00A1017D"/>
    <w:rsid w:val="00B1603C"/>
    <w:rsid w:val="00B80FF7"/>
    <w:rsid w:val="00B8413D"/>
    <w:rsid w:val="00B94209"/>
    <w:rsid w:val="00B96CA2"/>
    <w:rsid w:val="00CF0AC7"/>
    <w:rsid w:val="00CF7C69"/>
    <w:rsid w:val="00D20063"/>
    <w:rsid w:val="00D22EA3"/>
    <w:rsid w:val="00D3342B"/>
    <w:rsid w:val="00D53E57"/>
    <w:rsid w:val="00DA678B"/>
    <w:rsid w:val="00DC7A2C"/>
    <w:rsid w:val="00DF05BF"/>
    <w:rsid w:val="00EF7BD7"/>
    <w:rsid w:val="00FA2FBF"/>
    <w:rsid w:val="00FC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A41"/>
  <w15:docId w15:val="{626B9FC8-62CF-4E05-BDD1-CDDC6C5E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42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A678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DA67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4148-1E63-4354-B982-17F5E350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1097</Words>
  <Characters>7761</Characters>
  <Application>Microsoft Office Word</Application>
  <DocSecurity>0</DocSecurity>
  <Lines>388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6</cp:revision>
  <cp:lastPrinted>2023-09-19T04:01:00Z</cp:lastPrinted>
  <dcterms:created xsi:type="dcterms:W3CDTF">2024-07-24T05:38:00Z</dcterms:created>
  <dcterms:modified xsi:type="dcterms:W3CDTF">2024-07-24T06:36:00Z</dcterms:modified>
</cp:coreProperties>
</file>